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jc w:val="center"/>
        <w:rPr>
          <w:rFonts w:ascii="微软雅黑" w:hAnsi="微软雅黑" w:eastAsia="微软雅黑" w:cs="微软雅黑"/>
          <w:b/>
          <w:sz w:val="28"/>
          <w:szCs w:val="28"/>
          <w:highlight w:val="none"/>
        </w:rPr>
      </w:pPr>
      <w:r>
        <w:rPr>
          <w:rFonts w:hint="eastAsia" w:ascii="微软雅黑" w:hAnsi="微软雅黑" w:eastAsia="微软雅黑" w:cs="微软雅黑"/>
          <w:b/>
          <w:sz w:val="28"/>
          <w:szCs w:val="28"/>
          <w:highlight w:val="none"/>
        </w:rPr>
        <w:t>BBR系列医用血液冷藏箱技术参数</w:t>
      </w:r>
    </w:p>
    <w:p>
      <w:pPr>
        <w:jc w:val="center"/>
        <w:rPr>
          <w:rFonts w:ascii="微软雅黑" w:hAnsi="微软雅黑" w:eastAsia="微软雅黑" w:cs="微软雅黑"/>
          <w:b/>
          <w:sz w:val="22"/>
          <w:szCs w:val="22"/>
          <w:highlight w:val="none"/>
        </w:rPr>
      </w:pPr>
      <w:r>
        <w:rPr>
          <w:rFonts w:hint="eastAsia" w:ascii="微软雅黑" w:hAnsi="微软雅黑" w:eastAsia="微软雅黑" w:cs="微软雅黑"/>
          <w:b/>
          <w:sz w:val="22"/>
          <w:szCs w:val="22"/>
          <w:highlight w:val="none"/>
        </w:rPr>
        <w:t>---适用型号BBR-4V296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结构设计：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1、箱体外壳采用优质冷轧钢板，经过环保、</w:t>
      </w:r>
      <w:r>
        <w:rPr>
          <w:rFonts w:hint="eastAsia" w:ascii="微软雅黑" w:hAnsi="微软雅黑" w:eastAsia="微软雅黑" w:cs="微软雅黑"/>
          <w:szCs w:val="21"/>
          <w:highlight w:val="none"/>
          <w:lang w:val="en-US" w:eastAsia="zh-CN"/>
        </w:rPr>
        <w:t>陶化</w:t>
      </w:r>
      <w:r>
        <w:rPr>
          <w:rFonts w:hint="eastAsia" w:ascii="微软雅黑" w:hAnsi="微软雅黑" w:eastAsia="微软雅黑" w:cs="微软雅黑"/>
          <w:szCs w:val="21"/>
          <w:highlight w:val="none"/>
        </w:rPr>
        <w:t>、喷涂等工艺，耐腐蚀性强；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2、内箱采用SUS304不锈钢板；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温度控制：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1、采用微电脑控制系统，温度数字显示，确保精确稳定运行；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2、精准的电子温度控制，显示精度达到0.1℃，感温盒</w:t>
      </w:r>
      <w:r>
        <w:rPr>
          <w:rFonts w:ascii="微软雅黑" w:hAnsi="微软雅黑" w:eastAsia="微软雅黑" w:cs="微软雅黑"/>
          <w:szCs w:val="21"/>
          <w:highlight w:val="none"/>
        </w:rPr>
        <w:t>设计，模拟显示血袋内部</w:t>
      </w:r>
      <w:r>
        <w:rPr>
          <w:rFonts w:hint="eastAsia" w:ascii="微软雅黑" w:hAnsi="微软雅黑" w:eastAsia="微软雅黑" w:cs="微软雅黑"/>
          <w:szCs w:val="21"/>
          <w:highlight w:val="none"/>
        </w:rPr>
        <w:t>真实</w:t>
      </w:r>
      <w:r>
        <w:rPr>
          <w:rFonts w:ascii="微软雅黑" w:hAnsi="微软雅黑" w:eastAsia="微软雅黑" w:cs="微软雅黑"/>
          <w:szCs w:val="21"/>
          <w:highlight w:val="none"/>
        </w:rPr>
        <w:t>温度</w:t>
      </w:r>
      <w:r>
        <w:rPr>
          <w:rFonts w:hint="eastAsia" w:ascii="微软雅黑" w:hAnsi="微软雅黑" w:eastAsia="微软雅黑" w:cs="微软雅黑"/>
          <w:szCs w:val="21"/>
          <w:highlight w:val="none"/>
        </w:rPr>
        <w:t>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3、温度设定值偏差保护，避免误操作；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*4、标配热敏打印机，可以实时或定期打印温度数据；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5、冷气背吹设计，箱内温度稳定在4±2℃范围内；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6、可靠的温度控制，提供试剂、药品、样本所需的存储环境。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制冷系统：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1、国际知名品牌压缩机，无氟环保高效制冷剂，制冷速度快，制冷效率高，耗电量低；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2、铜管铝翅片式蒸发器配合独特的循环风冷系统设计，确保冷藏箱内部温度恒定；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3、高密度保温发泡层采用聚氨酯环戊烷发泡剂，保温效果好。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安全保障：</w:t>
      </w:r>
    </w:p>
    <w:p>
      <w:pPr>
        <w:spacing w:line="400" w:lineRule="exact"/>
        <w:ind w:left="420" w:right="-92" w:rightChars="-44" w:hanging="420" w:hangingChars="200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1、具备箱内高低温报警、传感器故障报警、断电报警（支持72小时）、开关门异常报警功能；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2、具备声音蜂鸣和灯光闪烁双重报警方式；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3、温控器测点双显示双控制运行模式；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4、密码保护功能，</w:t>
      </w:r>
      <w:r>
        <w:rPr>
          <w:rFonts w:hint="eastAsia" w:ascii="微软雅黑" w:hAnsi="微软雅黑" w:eastAsia="微软雅黑" w:cs="微软雅黑"/>
          <w:szCs w:val="21"/>
          <w:highlight w:val="none"/>
          <w:lang w:val="en-US" w:eastAsia="zh-CN"/>
        </w:rPr>
        <w:t>防止</w:t>
      </w:r>
      <w:r>
        <w:rPr>
          <w:rFonts w:hint="eastAsia" w:ascii="微软雅黑" w:hAnsi="微软雅黑" w:eastAsia="微软雅黑" w:cs="微软雅黑"/>
          <w:szCs w:val="21"/>
          <w:highlight w:val="none"/>
        </w:rPr>
        <w:t>随意调整运行参数；</w:t>
      </w:r>
      <w:bookmarkStart w:id="0" w:name="_GoBack"/>
      <w:bookmarkEnd w:id="0"/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5、断电保护：延时启动功能，避免电网恢复供电时多台设备同时导致断路器保护。</w:t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人性化设计：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1、输入电压：220V～±10％；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2、安全门锁设计，确保存放物品安全；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3、数字显示便于观察；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4、标配测试孔，方便用户监测或实验采集数据；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5、高度可调节搁架设计，适用于存储不同高度的物品；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6、万向脚轮设计，方便用户移动设备；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ascii="微软雅黑" w:hAnsi="微软雅黑" w:eastAsia="微软雅黑" w:cs="微软雅黑"/>
          <w:szCs w:val="21"/>
          <w:highlight w:val="none"/>
        </w:rPr>
        <w:t>*</w:t>
      </w:r>
      <w:r>
        <w:rPr>
          <w:rFonts w:hint="eastAsia" w:ascii="微软雅黑" w:hAnsi="微软雅黑" w:eastAsia="微软雅黑" w:cs="微软雅黑"/>
          <w:szCs w:val="21"/>
          <w:highlight w:val="none"/>
        </w:rPr>
        <w:t>7、双层中空钢化玻璃门，带电加热，防止表面凝露，展示效果更佳；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t>8、内置LED节能照明灯，方便观察箱内物品。</w:t>
      </w:r>
    </w:p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  <w:r>
        <w:rPr>
          <w:rFonts w:hint="eastAsia" w:ascii="微软雅黑" w:hAnsi="微软雅黑" w:eastAsia="微软雅黑" w:cs="微软雅黑"/>
          <w:szCs w:val="21"/>
          <w:highlight w:val="none"/>
        </w:rPr>
        <w:br w:type="page"/>
      </w:r>
    </w:p>
    <w:p>
      <w:pPr>
        <w:spacing w:line="400" w:lineRule="exact"/>
        <w:rPr>
          <w:rFonts w:ascii="微软雅黑" w:hAnsi="微软雅黑" w:eastAsia="微软雅黑" w:cs="微软雅黑"/>
          <w:b/>
          <w:bCs/>
          <w:szCs w:val="21"/>
          <w:highlight w:val="none"/>
        </w:rPr>
      </w:pPr>
      <w:r>
        <w:rPr>
          <w:rFonts w:hint="eastAsia" w:ascii="微软雅黑" w:hAnsi="微软雅黑" w:eastAsia="微软雅黑" w:cs="微软雅黑"/>
          <w:b/>
          <w:bCs/>
          <w:szCs w:val="21"/>
          <w:highlight w:val="none"/>
        </w:rPr>
        <w:t>技术参数：</w:t>
      </w:r>
    </w:p>
    <w:tbl>
      <w:tblPr>
        <w:tblStyle w:val="5"/>
        <w:tblW w:w="8010" w:type="dxa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080"/>
        <w:gridCol w:w="4035"/>
        <w:gridCol w:w="2895"/>
      </w:tblGrid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highlight w:val="none"/>
              </w:rPr>
              <w:t>博科冷链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highlight w:val="none"/>
              </w:rPr>
              <w:t>型号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2"/>
                <w:szCs w:val="22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2"/>
                <w:szCs w:val="22"/>
                <w:highlight w:val="none"/>
              </w:rPr>
              <w:t>BBR-4V296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41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b/>
                <w:color w:val="000000"/>
                <w:kern w:val="0"/>
                <w:sz w:val="20"/>
                <w:highlight w:val="none"/>
              </w:rPr>
              <w:t>图片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b/>
                <w:color w:val="000000"/>
                <w:sz w:val="20"/>
                <w:highlight w:val="none"/>
              </w:rPr>
            </w:pPr>
            <w:r>
              <w:rPr>
                <w:highlight w:val="none"/>
              </w:rPr>
              <w:drawing>
                <wp:inline distT="0" distB="0" distL="114300" distR="114300">
                  <wp:extent cx="1386205" cy="1855470"/>
                  <wp:effectExtent l="0" t="0" r="0" b="0"/>
                  <wp:docPr id="163541" name="图片 3" descr="BBR-4V2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3541" name="图片 3" descr="BBR-4V296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205" cy="18554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技术参数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搁架及储血筐材质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钢丝浸塑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搁架层数/储血筐个数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4/12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制冷方式（风冷/直冷）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风冷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除霜方式（自动/手动）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自动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制冷剂/g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R134a/175g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噪音级别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55dB（A）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温度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环温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10~32℃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温度范围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4±2℃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控制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蒸发器类型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翅片式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蒸发器材料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铜管铝翅片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冷凝器类型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翅片式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冷凝器材料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铜管铝翅片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传感器类型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Arial" w:hAnsi="Arial" w:cs="Arial"/>
                <w:color w:val="000000"/>
                <w:sz w:val="20"/>
                <w:highlight w:val="none"/>
              </w:rPr>
            </w:pPr>
            <w:r>
              <w:rPr>
                <w:rFonts w:ascii="Arial" w:hAnsi="Arial" w:cs="Arial"/>
                <w:color w:val="000000"/>
                <w:kern w:val="0"/>
                <w:sz w:val="20"/>
                <w:highlight w:val="none"/>
              </w:rPr>
              <w:t>NTC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温控器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电子温控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显示方式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数码显示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电质参数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电压/频率（V/Hz)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220/50  220/60   110/60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功率（VA)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528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材质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内部材料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不锈钢板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外部材料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喷涂钢板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隔热层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聚氨酯环戊烷发泡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尺寸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有效容积（L)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296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450cc血袋数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13*3*4=156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净重/毛重（kg)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121/160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外部尺寸（宽*深*高)(mm)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630*720*1658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内部尺寸（宽*深*高)(mm)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530*520*1096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包装尺寸（宽*深*高）（mm)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780*840*1910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展会包装（宽*深*高）（mm)</w:t>
            </w:r>
          </w:p>
        </w:tc>
        <w:tc>
          <w:tcPr>
            <w:tcW w:w="2895" w:type="dxa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785*835*1895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报警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高低温报警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断电报警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温控器故障报警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电池开关报警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门开关报警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断电报警时长（h）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72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打印机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热敏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附件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脚轮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刹车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√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外门/类型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1/电加热玻璃门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内门（亚克力）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外门锁扣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测试孔(数量/位置/内径）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1/右侧/φ23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灯（LED/荧光灯)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LED</w:t>
            </w:r>
          </w:p>
        </w:tc>
      </w:tr>
      <w:tr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85" w:hRule="atLeast"/>
        </w:trPr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其他</w:t>
            </w:r>
          </w:p>
        </w:tc>
        <w:tc>
          <w:tcPr>
            <w:tcW w:w="4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认证</w:t>
            </w:r>
          </w:p>
        </w:tc>
        <w:tc>
          <w:tcPr>
            <w:tcW w:w="28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0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0"/>
                <w:highlight w:val="none"/>
              </w:rPr>
              <w:t>9001/13485</w:t>
            </w:r>
          </w:p>
        </w:tc>
      </w:tr>
    </w:tbl>
    <w:p>
      <w:pPr>
        <w:spacing w:line="400" w:lineRule="exact"/>
        <w:rPr>
          <w:rFonts w:ascii="微软雅黑" w:hAnsi="微软雅黑" w:eastAsia="微软雅黑" w:cs="微软雅黑"/>
          <w:szCs w:val="21"/>
          <w:highlight w:val="none"/>
        </w:rPr>
      </w:pPr>
    </w:p>
    <w:sectPr>
      <w:headerReference r:id="rId3" w:type="default"/>
      <w:pgSz w:w="11906" w:h="16838"/>
      <w:pgMar w:top="1440" w:right="1706" w:bottom="567" w:left="1800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thinThickThinSmallGap" w:color="auto" w:sz="18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OWY1NjM3M2ZmMGY0MzRjMjJlMTIxMjdlNmM4ZDJiNTYifQ=="/>
    <w:docVar w:name="KSO_WPS_MARK_KEY" w:val="ab993e10-db06-462b-8f85-2fbff37d5e2c"/>
  </w:docVars>
  <w:rsids>
    <w:rsidRoot w:val="00172A27"/>
    <w:rsid w:val="000047F6"/>
    <w:rsid w:val="00013C5E"/>
    <w:rsid w:val="00015A2C"/>
    <w:rsid w:val="00020CF3"/>
    <w:rsid w:val="00081853"/>
    <w:rsid w:val="000A39C3"/>
    <w:rsid w:val="000A79A1"/>
    <w:rsid w:val="000A7C96"/>
    <w:rsid w:val="000C4AAC"/>
    <w:rsid w:val="000E5F0D"/>
    <w:rsid w:val="001111DF"/>
    <w:rsid w:val="00116B8E"/>
    <w:rsid w:val="00135A57"/>
    <w:rsid w:val="00172A27"/>
    <w:rsid w:val="00176B73"/>
    <w:rsid w:val="001D0044"/>
    <w:rsid w:val="001D219A"/>
    <w:rsid w:val="001E54EF"/>
    <w:rsid w:val="001F6972"/>
    <w:rsid w:val="002463B7"/>
    <w:rsid w:val="00280538"/>
    <w:rsid w:val="0028133D"/>
    <w:rsid w:val="002828B8"/>
    <w:rsid w:val="002B4714"/>
    <w:rsid w:val="002B4BE9"/>
    <w:rsid w:val="002C20F1"/>
    <w:rsid w:val="002C6E9A"/>
    <w:rsid w:val="003005C2"/>
    <w:rsid w:val="00306F0D"/>
    <w:rsid w:val="00315CC1"/>
    <w:rsid w:val="00331FC5"/>
    <w:rsid w:val="003327F1"/>
    <w:rsid w:val="00354996"/>
    <w:rsid w:val="00356465"/>
    <w:rsid w:val="003B5A31"/>
    <w:rsid w:val="00413118"/>
    <w:rsid w:val="00414A50"/>
    <w:rsid w:val="00445057"/>
    <w:rsid w:val="00454407"/>
    <w:rsid w:val="004738C1"/>
    <w:rsid w:val="00492B2B"/>
    <w:rsid w:val="004C6255"/>
    <w:rsid w:val="004D27AC"/>
    <w:rsid w:val="004D7989"/>
    <w:rsid w:val="004E17D2"/>
    <w:rsid w:val="004F4483"/>
    <w:rsid w:val="00505A59"/>
    <w:rsid w:val="00522F3C"/>
    <w:rsid w:val="00536260"/>
    <w:rsid w:val="00566ABF"/>
    <w:rsid w:val="005801FE"/>
    <w:rsid w:val="00582D5C"/>
    <w:rsid w:val="0059298B"/>
    <w:rsid w:val="005E0C58"/>
    <w:rsid w:val="005E72A3"/>
    <w:rsid w:val="005E78DA"/>
    <w:rsid w:val="00605C9E"/>
    <w:rsid w:val="006308A3"/>
    <w:rsid w:val="006471ED"/>
    <w:rsid w:val="0065388E"/>
    <w:rsid w:val="006E0753"/>
    <w:rsid w:val="006E745B"/>
    <w:rsid w:val="00713BED"/>
    <w:rsid w:val="007335E4"/>
    <w:rsid w:val="00740B9E"/>
    <w:rsid w:val="00766875"/>
    <w:rsid w:val="00767060"/>
    <w:rsid w:val="007B43AE"/>
    <w:rsid w:val="007B6C56"/>
    <w:rsid w:val="007C11D8"/>
    <w:rsid w:val="007F7FD9"/>
    <w:rsid w:val="008073A5"/>
    <w:rsid w:val="00875870"/>
    <w:rsid w:val="008C11A5"/>
    <w:rsid w:val="008C1E63"/>
    <w:rsid w:val="008F41E7"/>
    <w:rsid w:val="009022DC"/>
    <w:rsid w:val="00940227"/>
    <w:rsid w:val="00955F22"/>
    <w:rsid w:val="0096093D"/>
    <w:rsid w:val="009E725B"/>
    <w:rsid w:val="00A07B9A"/>
    <w:rsid w:val="00A50759"/>
    <w:rsid w:val="00A63310"/>
    <w:rsid w:val="00A739D9"/>
    <w:rsid w:val="00AA2D29"/>
    <w:rsid w:val="00AF3EA8"/>
    <w:rsid w:val="00B00356"/>
    <w:rsid w:val="00B47750"/>
    <w:rsid w:val="00B63ECC"/>
    <w:rsid w:val="00B65E86"/>
    <w:rsid w:val="00BC045D"/>
    <w:rsid w:val="00BC2AA9"/>
    <w:rsid w:val="00BC2C4F"/>
    <w:rsid w:val="00BD14FD"/>
    <w:rsid w:val="00BD663D"/>
    <w:rsid w:val="00BE3108"/>
    <w:rsid w:val="00BF1488"/>
    <w:rsid w:val="00BF5C97"/>
    <w:rsid w:val="00C04E0D"/>
    <w:rsid w:val="00C26985"/>
    <w:rsid w:val="00C4045F"/>
    <w:rsid w:val="00C613D7"/>
    <w:rsid w:val="00C71298"/>
    <w:rsid w:val="00CF1B25"/>
    <w:rsid w:val="00CF2820"/>
    <w:rsid w:val="00D21F75"/>
    <w:rsid w:val="00D611F2"/>
    <w:rsid w:val="00DD46AE"/>
    <w:rsid w:val="00E71177"/>
    <w:rsid w:val="00E726C9"/>
    <w:rsid w:val="00E7667C"/>
    <w:rsid w:val="00EB18DE"/>
    <w:rsid w:val="00EC3D4B"/>
    <w:rsid w:val="00F23885"/>
    <w:rsid w:val="00F34EBD"/>
    <w:rsid w:val="00F67171"/>
    <w:rsid w:val="00FA2605"/>
    <w:rsid w:val="02B75890"/>
    <w:rsid w:val="0B5424FE"/>
    <w:rsid w:val="0E3015D7"/>
    <w:rsid w:val="11FC0F80"/>
    <w:rsid w:val="12C844F2"/>
    <w:rsid w:val="15D241DC"/>
    <w:rsid w:val="16CD754D"/>
    <w:rsid w:val="1A7F5AAF"/>
    <w:rsid w:val="1A8E1928"/>
    <w:rsid w:val="1D831B60"/>
    <w:rsid w:val="210C55F9"/>
    <w:rsid w:val="25FD2F66"/>
    <w:rsid w:val="29F71444"/>
    <w:rsid w:val="2A172D9D"/>
    <w:rsid w:val="2A21112E"/>
    <w:rsid w:val="2B3012EB"/>
    <w:rsid w:val="32D33B70"/>
    <w:rsid w:val="35935DF5"/>
    <w:rsid w:val="39274222"/>
    <w:rsid w:val="3F944B6B"/>
    <w:rsid w:val="422D2476"/>
    <w:rsid w:val="47E5683F"/>
    <w:rsid w:val="4E3C5893"/>
    <w:rsid w:val="4F503FE4"/>
    <w:rsid w:val="50766910"/>
    <w:rsid w:val="58877C2B"/>
    <w:rsid w:val="5A825EBA"/>
    <w:rsid w:val="5B3B333C"/>
    <w:rsid w:val="61D2209B"/>
    <w:rsid w:val="62873AEA"/>
    <w:rsid w:val="698A1FC4"/>
    <w:rsid w:val="6A64082E"/>
    <w:rsid w:val="6AEB5CB9"/>
    <w:rsid w:val="6C662BE4"/>
    <w:rsid w:val="6D0914F3"/>
    <w:rsid w:val="6E03170B"/>
    <w:rsid w:val="6E393DE4"/>
    <w:rsid w:val="70DC00E0"/>
    <w:rsid w:val="74C74DE7"/>
    <w:rsid w:val="75621295"/>
    <w:rsid w:val="76592AC7"/>
    <w:rsid w:val="77CA15BE"/>
    <w:rsid w:val="783E16DD"/>
    <w:rsid w:val="7BC13CD3"/>
    <w:rsid w:val="7BD80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7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6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9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">
    <w:name w:val="font1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9">
    <w:name w:val="font0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4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1">
    <w:name w:val="font8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2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3">
    <w:name w:val="font3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4">
    <w:name w:val="font91"/>
    <w:basedOn w:val="7"/>
    <w:qFormat/>
    <w:uiPriority w:val="0"/>
    <w:rPr>
      <w:rFonts w:hint="eastAsia" w:ascii="宋体" w:hAnsi="宋体" w:eastAsia="宋体" w:cs="宋体"/>
      <w:b/>
      <w:color w:val="000000"/>
      <w:sz w:val="22"/>
      <w:szCs w:val="22"/>
      <w:u w:val="none"/>
    </w:rPr>
  </w:style>
  <w:style w:type="character" w:customStyle="1" w:styleId="15">
    <w:name w:val="font61"/>
    <w:basedOn w:val="7"/>
    <w:qFormat/>
    <w:uiPriority w:val="0"/>
    <w:rPr>
      <w:rFonts w:hint="eastAsia" w:ascii="宋体" w:hAnsi="宋体" w:eastAsia="宋体" w:cs="宋体"/>
      <w:color w:val="000000"/>
      <w:sz w:val="21"/>
      <w:szCs w:val="21"/>
      <w:u w:val="none"/>
    </w:rPr>
  </w:style>
  <w:style w:type="character" w:customStyle="1" w:styleId="16">
    <w:name w:val="批注框文本 Char"/>
    <w:basedOn w:val="7"/>
    <w:link w:val="2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733C9C-DF20-48B8-92B9-FDC3E5F9753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Company</Company>
  <Pages>3</Pages>
  <Words>1041</Words>
  <Characters>1235</Characters>
  <Lines>10</Lines>
  <Paragraphs>2</Paragraphs>
  <TotalTime>18</TotalTime>
  <ScaleCrop>false</ScaleCrop>
  <LinksUpToDate>false</LinksUpToDate>
  <CharactersWithSpaces>1240</CharactersWithSpaces>
  <Application>WPS Office_11.1.0.12165_F1E327BC-269C-435d-A152-05C5408002CA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2019-04-22T09:04:00Z</dcterms:created>
  <dc:creator>User</dc:creator>
  <cp:lastModifiedBy>动感时差</cp:lastModifiedBy>
  <dcterms:modified xsi:type="dcterms:W3CDTF">2025-02-10T06:13:47Z</dcterms:modified>
  <dc:title>外部尺寸：1732*845*935</dc:title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2052-11.1.0.12165</vt:lpwstr>
  </property>
  <property fmtid="{D5CDD505-2E9C-101B-9397-08002B2CF9AE}" pid="3" name="ICV">
    <vt:lpwstr>85769DB151754EF2A17D5AE728C6897E_13</vt:lpwstr>
  </property>
</Properties>
</file>